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Liczba sklepów internetowych w Polsce od trzech lat rośnie o 25 proc. rocznie. Jednak niemal 60 proc. z nich ma problemy finansowe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należy do najbardziej dynamicznie rozwijających się rynków e-commerce w Europie. Pod koniec maja w rejestrze KRS zarejestrowanych było 49,3 tys. sklepów internetowych - niemal o 3 tys. więcej niż na koniec 1. kwartału tego roku. Jednak blisko 60 proc. z nich boryka się z problemami finansowymi. W branży odzieżowej wiosna to tradycyjnie czas intensywnych kampanii promocyjnych, ale w tym i w zeszłym roku na ten okres przypadło zamknięcie galerii handlowych. Jak wynika z raportu ExpertSender, marki modowe, zdając sobie sprawę ze zwiększonej konkurencji w Internecie, bardziej zadbały o jakość dostarczanych klientom treści.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sklepów internetowych w Polsce od trzech lat rośnie o </w:t>
      </w:r>
      <w:r>
        <w:rPr>
          <w:rFonts w:ascii="calibri" w:hAnsi="calibri" w:eastAsia="calibri" w:cs="calibri"/>
          <w:sz w:val="24"/>
          <w:szCs w:val="24"/>
          <w:b/>
        </w:rPr>
        <w:t xml:space="preserve">25 proc. rocznie</w:t>
      </w:r>
      <w:r>
        <w:rPr>
          <w:rFonts w:ascii="calibri" w:hAnsi="calibri" w:eastAsia="calibri" w:cs="calibri"/>
          <w:sz w:val="24"/>
          <w:szCs w:val="24"/>
        </w:rPr>
        <w:t xml:space="preserve">, co stawia nas </w:t>
      </w:r>
      <w:r>
        <w:rPr>
          <w:rFonts w:ascii="calibri" w:hAnsi="calibri" w:eastAsia="calibri" w:cs="calibri"/>
          <w:sz w:val="24"/>
          <w:szCs w:val="24"/>
          <w:b/>
        </w:rPr>
        <w:t xml:space="preserve">w czołówce najbardziej dynamicznie rozwijających się rynków e-commerce w Europie</w:t>
      </w:r>
      <w:r>
        <w:rPr>
          <w:rFonts w:ascii="calibri" w:hAnsi="calibri" w:eastAsia="calibri" w:cs="calibri"/>
          <w:sz w:val="24"/>
          <w:szCs w:val="24"/>
        </w:rPr>
        <w:t xml:space="preserve">, jak wynika z danych wywiadowni gospodarczej Dun&amp;Brandstreet. Pod koniec maja w rejestrze KRS zarejestrowanych było </w:t>
      </w:r>
      <w:r>
        <w:rPr>
          <w:rFonts w:ascii="calibri" w:hAnsi="calibri" w:eastAsia="calibri" w:cs="calibri"/>
          <w:sz w:val="24"/>
          <w:szCs w:val="24"/>
          <w:b/>
        </w:rPr>
        <w:t xml:space="preserve">49,3 tys. sklepów internetowych</w:t>
      </w:r>
      <w:r>
        <w:rPr>
          <w:rFonts w:ascii="calibri" w:hAnsi="calibri" w:eastAsia="calibri" w:cs="calibri"/>
          <w:sz w:val="24"/>
          <w:szCs w:val="24"/>
        </w:rPr>
        <w:t xml:space="preserve"> - niemal o 3 tys. więcej niż na koniec 1. kwartału tego roku i o 127 proc. więcej niż na koniec 2013 r. Według danych ExpertSender, polskiej firmy wspierającej marki w automatyzacji marketingu opartego na danych, </w:t>
      </w:r>
      <w:r>
        <w:rPr>
          <w:rFonts w:ascii="calibri" w:hAnsi="calibri" w:eastAsia="calibri" w:cs="calibri"/>
          <w:sz w:val="24"/>
          <w:szCs w:val="24"/>
          <w:b/>
        </w:rPr>
        <w:t xml:space="preserve">zakupy online robi już niemal 80 proc. Polaków</w:t>
      </w:r>
      <w:r>
        <w:rPr>
          <w:rFonts w:ascii="calibri" w:hAnsi="calibri" w:eastAsia="calibri" w:cs="calibri"/>
          <w:sz w:val="24"/>
          <w:szCs w:val="24"/>
        </w:rPr>
        <w:t xml:space="preserve"> - blisko ⅕ nawet kilka razy w tygodniu. Trudno się więc dziwić, że wiele firm przenosi ciężar swoich działań do Internetu.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Większość stacjonarnych sklepów z odzieżą znajduje się w złej sytuacji finansowej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systematycznie spada liczba sklepów tradycyjnych. Najwięcej ubyło małych sklepów z odzieżą i obuwiem prowadzonych na targowiskach - blisko 10 tys., co stanowi spadek o 19,6 proc. od 2013 r. Niewiele lepiej wygląda sytuacja w branży sprzedaży detalicznej obuwia i wyrobów skórzanych, których liczba od 2013 r. spadła o ponad 17 proc. W tym samym okresie o 4 proc. spadła również liczba sklepów z zegarkami i biżuterią. </w:t>
      </w:r>
      <w:r>
        <w:rPr>
          <w:rFonts w:ascii="calibri" w:hAnsi="calibri" w:eastAsia="calibri" w:cs="calibri"/>
          <w:sz w:val="24"/>
          <w:szCs w:val="24"/>
          <w:b/>
        </w:rPr>
        <w:t xml:space="preserve">Połowa sklepów detalicznych odczuwa poważne kłopoty finansowe</w:t>
      </w:r>
      <w:r>
        <w:rPr>
          <w:rFonts w:ascii="calibri" w:hAnsi="calibri" w:eastAsia="calibri" w:cs="calibri"/>
          <w:sz w:val="24"/>
          <w:szCs w:val="24"/>
        </w:rPr>
        <w:t xml:space="preserve">, w ocenie Dun&amp;Brandstreet w dobrej lub bardzo dobrej kondycji jest zaledwie 48 proc. </w:t>
      </w:r>
      <w:r>
        <w:rPr>
          <w:rFonts w:ascii="calibri" w:hAnsi="calibri" w:eastAsia="calibri" w:cs="calibri"/>
          <w:sz w:val="24"/>
          <w:szCs w:val="24"/>
          <w:b/>
        </w:rPr>
        <w:t xml:space="preserve">Najsłabiej wypadają tradycyjne sklepy z odzieżą, z których aż 57 proc. znajduje się w złej lub bardzo złej sytuacji finansowej.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 początku 2021 r. Polacy zawiesili prawie 10 proc. wszystkich działalności sklepów internetowych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Jednak, jak wynika z danych, samo założenie sklepu internetowego nie jest wystarczające do odniesienia sukcesu. </w:t>
      </w:r>
      <w:r>
        <w:rPr>
          <w:rFonts w:ascii="calibri" w:hAnsi="calibri" w:eastAsia="calibri" w:cs="calibri"/>
          <w:sz w:val="24"/>
          <w:szCs w:val="24"/>
          <w:b/>
        </w:rPr>
        <w:t xml:space="preserve">W pierwszych pięciu miesiącach 2021 r. Polacy zawiesili działalność 2,1 tys. sklepów internetowych</w:t>
      </w:r>
      <w:r>
        <w:rPr>
          <w:rFonts w:ascii="calibri" w:hAnsi="calibri" w:eastAsia="calibri" w:cs="calibri"/>
          <w:sz w:val="24"/>
          <w:szCs w:val="24"/>
        </w:rPr>
        <w:t xml:space="preserve">, a w całym 2020 r. - 3,9 tys. sklepów internetowych, co stanowi 8,6 proc. wszystkich zarejestrowanych podmiotów e-commerce w Polsce. Wśród sklepów tradycyjnych z branży handlu detalicznego liczba zawieszonych działalności waha się od 2 do 3,5 proc. względem całkowitej liczby działających podmiotów. Ponad 58 proc. sklepów internetowych ma kłopoty finansowe. Ocena sytuacji finansowej została dokonana przez Dun&amp;Brandstreet na podstawie nie starszych niż 2 lata danych finansowych blisko 5 tys. sklepów.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Marki modowe stawiają na nowoczesne rozwiązania i dobrej jakości treści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Szczególnie trudna sytuacja sklepów z branży odzieżowej może wynikać z faktu, że wiosna to tradycyjnie czas intensywnych kampanii promocyjnych, szczególnie internetowych, związanych z wprowadzaniem do sprzedaży kolekcji na nowy sezon. Jednak w połowie marca 2020 r. liczba wysyłek maili reklamowych uległa zmniejszeniu, ponieważ kampanie zostały wstrzymane w oczekiwaniu na rozwój sytuacji, jak wynika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raportu</w:t>
        </w:r>
      </w:hyperlink>
      <w:r>
        <w:rPr>
          <w:rFonts w:ascii="calibri" w:hAnsi="calibri" w:eastAsia="calibri" w:cs="calibri"/>
          <w:sz w:val="24"/>
          <w:szCs w:val="24"/>
        </w:rPr>
        <w:t xml:space="preserve"> ExpertSender. W tym roku sytuacja również nie była łatwa - na luty, marzec i kwiecień przypadła trzecia fala pandemii i zamknięcie galerii handlowych. Liczba wysłanych e-maili pozostała na podobnym poziomie jak w 2020 r., natomiast współczynnik otwarć wzrósł o 3,2-5,1 proc., a kliknięć zawartych w wiadomościach linków o 0,8-0,9 proc.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Zamknięcie galerii handlowych – a wraz z nimi wielu stacjonarnych sklepów odzieżowych –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spowodowało zwiększone zainteresowanie sklepami internetowymi oraz ofertami przesyłanymi e-mailem</w:t>
      </w:r>
      <w:r>
        <w:rPr>
          <w:rFonts w:ascii="calibri" w:hAnsi="calibri" w:eastAsia="calibri" w:cs="calibri"/>
          <w:sz w:val="24"/>
          <w:szCs w:val="24"/>
        </w:rPr>
        <w:t xml:space="preserve"> - wyjaśnia Karol Olszewski, eCommerce Account Manager w ExpertSender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ostatnich miesiącach marki modowe, zdając sobie sprawę z większej konkurencji w kanale e-mail, zadbały o jakość swoich baz kontaktowych oraz wysyłanych subskrybentom treści. Zaczęły przy tym częściej sięgać po bardziej zaawansowane funkcje naszej platformy do automatyzacji marketingu, w tym po dynamiczne treści, które pozwalają automatycznie dobrać najlepszą dla danego klienta treść, uzależnioną od jego cech, preferencji i historii zakupów. Lepiej dobrana treść i usunięcie z baz „martwych dusz” sprawiło, że procentowo więcej odbiorców otwiera e-maile i klika zamieszczone w nich linki.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badania Dun &amp; Bradstreet. Analizie poddano dane z rejestru KRS. W przypadku spółek prawa handlowego sytuacja finansowa firmy była oceniana na podstawie bilansu i rachunków wyników, natomiast w przypadku podmiotów nieprowadzących pełnej księgowości, co wśród sprzedawców detalicznych zdarza się dość często, oparto się na przychodach, kosztach i wyniku finansowym firmy. Główne czynniki wpływające na ocenę to wskaźnik płynności, zadłużenia, rentowności, zdolność finansowa, poziom zarejestrowanych przeterminowanych płatności oraz zarejestrowane wnioski o upadłość, lub postępowanie naprawcze, ogłoszenie upadłości, rozpoczęcie procesu likwidacji oraz negatywne sygnały prasowe.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xpertsender.pl/ExpertSender-Koronaraport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2024-04-25T09:59:18+02:00</dcterms:created>
  <dcterms:modified xsi:type="dcterms:W3CDTF">2024-04-25T09:59:18+02:00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